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78" w:rsidRPr="00CB4178" w:rsidRDefault="00CB4178" w:rsidP="00CB4178">
      <w:pPr>
        <w:spacing w:before="180" w:after="80" w:line="288" w:lineRule="atLeast"/>
        <w:outlineLvl w:val="1"/>
        <w:rPr>
          <w:rFonts w:eastAsia="Times New Roman" w:cs="Times New Roman"/>
          <w:b/>
          <w:color w:val="333333"/>
          <w:sz w:val="28"/>
          <w:szCs w:val="28"/>
          <w:lang w:eastAsia="de-CH"/>
        </w:rPr>
      </w:pPr>
      <w:r w:rsidRPr="00CB4178">
        <w:rPr>
          <w:rFonts w:eastAsia="Times New Roman" w:cs="Times New Roman"/>
          <w:b/>
          <w:color w:val="333333"/>
          <w:sz w:val="28"/>
          <w:szCs w:val="28"/>
          <w:lang w:eastAsia="de-CH"/>
        </w:rPr>
        <w:t>Epilepsien und epileptische Anfälle</w:t>
      </w:r>
    </w:p>
    <w:p w:rsidR="00CB4178" w:rsidRPr="00CB4178" w:rsidRDefault="00CB4178" w:rsidP="00CB4178">
      <w:pPr>
        <w:spacing w:after="120" w:line="240" w:lineRule="auto"/>
        <w:rPr>
          <w:rFonts w:eastAsia="Times New Roman" w:cs="Times New Roman"/>
          <w:sz w:val="24"/>
          <w:szCs w:val="24"/>
          <w:lang w:eastAsia="de-CH"/>
        </w:rPr>
      </w:pPr>
      <w:r w:rsidRPr="00CB4178">
        <w:rPr>
          <w:rFonts w:eastAsia="Times New Roman" w:cs="Times New Roman"/>
          <w:sz w:val="24"/>
          <w:szCs w:val="24"/>
          <w:lang w:eastAsia="de-CH"/>
        </w:rPr>
        <w:t>Epilepsien sind zeitlich begrenzte Funktionsstörungen des zentralen Nervensystems. Sie äussern sich in Anfällen, das heisst in einer vorübergehenden Fehlfunktion der Hirnnervenzellen.</w:t>
      </w:r>
      <w:r w:rsidRPr="00CB4178">
        <w:rPr>
          <w:rFonts w:eastAsia="Times New Roman" w:cs="Times New Roman"/>
          <w:sz w:val="24"/>
          <w:szCs w:val="24"/>
          <w:lang w:eastAsia="de-CH"/>
        </w:rPr>
        <w:br/>
        <w:t>Die Anfälle sind je nach Epilepsieform unterschiedlich. Epileptische Anfälle können</w:t>
      </w:r>
      <w:r w:rsidRPr="00CB4178">
        <w:rPr>
          <w:rFonts w:eastAsia="Times New Roman" w:cs="Times New Roman"/>
          <w:sz w:val="24"/>
          <w:szCs w:val="24"/>
          <w:lang w:eastAsia="de-CH"/>
        </w:rPr>
        <w:br/>
        <w:t xml:space="preserve">bei jedem Menschen und in jedem Lebensalter auftreten. Ein einzelner Anfall bedeutet jedoch noch keine Epilepsie. Erst wenn sich die Anfälle wiederholen, spricht man von einer Epilepsie. </w:t>
      </w:r>
    </w:p>
    <w:p w:rsidR="008851BE" w:rsidRPr="00CB4178" w:rsidRDefault="00CB4178" w:rsidP="00CB4178">
      <w:pPr>
        <w:spacing w:after="120" w:line="240" w:lineRule="auto"/>
        <w:rPr>
          <w:rFonts w:eastAsia="Times New Roman" w:cs="Times New Roman"/>
          <w:sz w:val="24"/>
          <w:szCs w:val="24"/>
          <w:lang w:eastAsia="de-CH"/>
        </w:rPr>
      </w:pPr>
      <w:r w:rsidRPr="00CB4178">
        <w:rPr>
          <w:rFonts w:eastAsia="Times New Roman" w:cs="Times New Roman"/>
          <w:sz w:val="24"/>
          <w:szCs w:val="24"/>
          <w:lang w:eastAsia="de-CH"/>
        </w:rPr>
        <w:t xml:space="preserve">In der Schweiz ist 1% der Bevölkerung von Epilepsie betroffen. Das sind 70000 Personen und davon 15000 Kinder. </w:t>
      </w:r>
    </w:p>
    <w:p w:rsidR="00CB4178" w:rsidRPr="00CB4178" w:rsidRDefault="00CB4178" w:rsidP="00CB4178">
      <w:pPr>
        <w:pStyle w:val="berschrift2"/>
        <w:rPr>
          <w:rFonts w:asciiTheme="minorHAnsi" w:hAnsiTheme="minorHAnsi"/>
          <w:sz w:val="24"/>
          <w:szCs w:val="24"/>
        </w:rPr>
      </w:pPr>
      <w:r w:rsidRPr="00CB4178">
        <w:rPr>
          <w:rFonts w:asciiTheme="minorHAnsi" w:hAnsiTheme="minorHAnsi"/>
          <w:sz w:val="24"/>
          <w:szCs w:val="24"/>
        </w:rPr>
        <w:t>Welches sind die Ursachen von Epilepsien?</w:t>
      </w:r>
    </w:p>
    <w:p w:rsidR="00CB4178" w:rsidRPr="00CB4178" w:rsidRDefault="00CB4178" w:rsidP="00CB4178">
      <w:pPr>
        <w:pStyle w:val="StandardWeb"/>
        <w:rPr>
          <w:rFonts w:asciiTheme="minorHAnsi" w:hAnsiTheme="minorHAnsi"/>
        </w:rPr>
      </w:pPr>
      <w:r w:rsidRPr="00CB4178">
        <w:rPr>
          <w:rFonts w:asciiTheme="minorHAnsi" w:hAnsiTheme="minorHAnsi"/>
        </w:rPr>
        <w:t>Die zwei wichtigsten Ursachen der Epilepsie sind eine angeborene Bereitschaft</w:t>
      </w:r>
      <w:r w:rsidRPr="00CB4178">
        <w:rPr>
          <w:rFonts w:asciiTheme="minorHAnsi" w:hAnsiTheme="minorHAnsi"/>
        </w:rPr>
        <w:br/>
        <w:t>oder eine erworbene Hirnschädigung. Vorgeburtliche Fehlentwicklungen</w:t>
      </w:r>
      <w:proofErr w:type="gramStart"/>
      <w:r w:rsidRPr="00CB4178">
        <w:rPr>
          <w:rFonts w:asciiTheme="minorHAnsi" w:hAnsiTheme="minorHAnsi"/>
        </w:rPr>
        <w:t>,</w:t>
      </w:r>
      <w:proofErr w:type="gramEnd"/>
      <w:r w:rsidRPr="00CB4178">
        <w:rPr>
          <w:rFonts w:asciiTheme="minorHAnsi" w:hAnsiTheme="minorHAnsi"/>
        </w:rPr>
        <w:br/>
        <w:t>schädigende Einflüsse während der Schwangerschaft oder der Geburt, aber auch Verletzungen, Entzündungen, Hirntumore, Durchblutungsstörungen, Vergiftungen</w:t>
      </w:r>
      <w:r w:rsidRPr="00CB4178">
        <w:rPr>
          <w:rFonts w:asciiTheme="minorHAnsi" w:hAnsiTheme="minorHAnsi"/>
        </w:rPr>
        <w:br/>
        <w:t>und Stoffwechselerkrankungen können Epilepsien verursachen.</w:t>
      </w:r>
      <w:r w:rsidRPr="00CB4178">
        <w:rPr>
          <w:rFonts w:asciiTheme="minorHAnsi" w:hAnsiTheme="minorHAnsi"/>
        </w:rPr>
        <w:br/>
        <w:t>Bei etwa 60-70% aller Epilepsien besteht keine klar erkennbare Grundkrankheit.</w:t>
      </w:r>
    </w:p>
    <w:p w:rsidR="00CB4178" w:rsidRPr="00CB4178" w:rsidRDefault="00CB4178" w:rsidP="00CB4178">
      <w:pPr>
        <w:pStyle w:val="berschrift2"/>
        <w:rPr>
          <w:rFonts w:asciiTheme="minorHAnsi" w:hAnsiTheme="minorHAnsi"/>
          <w:sz w:val="24"/>
          <w:szCs w:val="24"/>
        </w:rPr>
      </w:pPr>
      <w:r w:rsidRPr="00CB4178">
        <w:rPr>
          <w:rFonts w:asciiTheme="minorHAnsi" w:hAnsiTheme="minorHAnsi"/>
          <w:sz w:val="24"/>
          <w:szCs w:val="24"/>
        </w:rPr>
        <w:t>Wie sieht eine medizinische Abklärung aus?</w:t>
      </w:r>
    </w:p>
    <w:p w:rsidR="00CB4178" w:rsidRPr="00CB4178" w:rsidRDefault="00CB4178" w:rsidP="00CB4178">
      <w:pPr>
        <w:pStyle w:val="StandardWeb"/>
        <w:rPr>
          <w:rFonts w:asciiTheme="minorHAnsi" w:hAnsiTheme="minorHAnsi"/>
        </w:rPr>
      </w:pPr>
      <w:r w:rsidRPr="00CB4178">
        <w:rPr>
          <w:rFonts w:asciiTheme="minorHAnsi" w:hAnsiTheme="minorHAnsi"/>
        </w:rPr>
        <w:t>Bei Symptomen, die den Verdacht auf eine Epilepsie nahelegen, sollte rasch und</w:t>
      </w:r>
      <w:r w:rsidRPr="00CB4178">
        <w:rPr>
          <w:rFonts w:asciiTheme="minorHAnsi" w:hAnsiTheme="minorHAnsi"/>
        </w:rPr>
        <w:br/>
        <w:t xml:space="preserve">ohne Zögern eine medizinische Abklärung durchgeführt werden. Da es sich bei Epilepsien nicht um ein einheitliches Krankheitsbild handelt, muss sehr differenziert vorgegangen werden. </w:t>
      </w:r>
      <w:r w:rsidRPr="00CB4178">
        <w:rPr>
          <w:rFonts w:asciiTheme="minorHAnsi" w:hAnsiTheme="minorHAnsi"/>
        </w:rPr>
        <w:br/>
        <w:t>Grundlagen für die Abklärung sind die Anamnese und die detaillierte Beschreibung</w:t>
      </w:r>
      <w:r w:rsidRPr="00CB4178">
        <w:rPr>
          <w:rFonts w:asciiTheme="minorHAnsi" w:hAnsiTheme="minorHAnsi"/>
        </w:rPr>
        <w:br/>
        <w:t xml:space="preserve">der Anfälle. Darauf folgen eine klinisch-neurologische Untersuchung und neurophysiologische Abklärungen mit dem Elektroenzephalogramms (EEG). </w:t>
      </w:r>
    </w:p>
    <w:p w:rsidR="00CB4178" w:rsidRPr="00CB4178" w:rsidRDefault="00CB4178" w:rsidP="00CB4178">
      <w:pPr>
        <w:pStyle w:val="StandardWeb"/>
        <w:spacing w:after="240"/>
        <w:rPr>
          <w:rFonts w:asciiTheme="minorHAnsi" w:hAnsiTheme="minorHAnsi"/>
        </w:rPr>
      </w:pPr>
      <w:r w:rsidRPr="00CB4178">
        <w:rPr>
          <w:rFonts w:asciiTheme="minorHAnsi" w:hAnsiTheme="minorHAnsi"/>
        </w:rPr>
        <w:t>Bei einem EEG werden die Spannungsänderungen der Gehirnaktivität aufgezeichnet. Dazu werden Elektroden auf der Kopfhaut platziert und mittels dünner Drähte mit dem EEG-Gerät verbunden. Die Untersuchung dauert ungefähr eine Stunde, sie ist ungefährlich, zuverlässig und schmerzlos.</w:t>
      </w:r>
      <w:r w:rsidRPr="00CB4178">
        <w:rPr>
          <w:rFonts w:asciiTheme="minorHAnsi" w:hAnsiTheme="minorHAnsi"/>
        </w:rPr>
        <w:br/>
      </w:r>
      <w:r w:rsidRPr="00CB4178">
        <w:rPr>
          <w:rFonts w:asciiTheme="minorHAnsi" w:hAnsiTheme="minorHAnsi"/>
        </w:rPr>
        <w:br/>
        <w:t>Das Diagnostizieren stärkerer Epilepsien erfordert weitere hoch spezialisierte Untersuchungen und Langzeitabklärungen.</w:t>
      </w:r>
    </w:p>
    <w:p w:rsidR="00CB4178" w:rsidRPr="00CB4178" w:rsidRDefault="00CB4178" w:rsidP="00CB4178">
      <w:pPr>
        <w:pStyle w:val="berschrift2"/>
        <w:rPr>
          <w:rFonts w:asciiTheme="minorHAnsi" w:hAnsiTheme="minorHAnsi"/>
          <w:sz w:val="24"/>
          <w:szCs w:val="24"/>
        </w:rPr>
      </w:pPr>
      <w:r w:rsidRPr="00CB4178">
        <w:rPr>
          <w:rFonts w:asciiTheme="minorHAnsi" w:hAnsiTheme="minorHAnsi"/>
          <w:sz w:val="24"/>
          <w:szCs w:val="24"/>
        </w:rPr>
        <w:t>Wie kann Epilepsie behandelt werden?</w:t>
      </w:r>
    </w:p>
    <w:p w:rsidR="00CB4178" w:rsidRPr="00CB4178" w:rsidRDefault="00CB4178" w:rsidP="00CB4178">
      <w:pPr>
        <w:pStyle w:val="StandardWeb"/>
        <w:rPr>
          <w:rFonts w:asciiTheme="minorHAnsi" w:hAnsiTheme="minorHAnsi"/>
        </w:rPr>
      </w:pPr>
      <w:r w:rsidRPr="00CB4178">
        <w:rPr>
          <w:rFonts w:asciiTheme="minorHAnsi" w:hAnsiTheme="minorHAnsi"/>
        </w:rPr>
        <w:t xml:space="preserve">Jede erfolgreiche Therapie basiert nebst der Diagnosestellung auf wiederholten, ausführlichen Gesprächen mit dem behandelnden Arzt. </w:t>
      </w:r>
    </w:p>
    <w:p w:rsidR="00CB4178" w:rsidRPr="00CB4178" w:rsidRDefault="00CB4178" w:rsidP="00CB4178">
      <w:pPr>
        <w:pStyle w:val="StandardWeb"/>
        <w:rPr>
          <w:rFonts w:asciiTheme="minorHAnsi" w:hAnsiTheme="minorHAnsi"/>
        </w:rPr>
      </w:pPr>
      <w:r w:rsidRPr="00CB4178">
        <w:rPr>
          <w:rFonts w:asciiTheme="minorHAnsi" w:hAnsiTheme="minorHAnsi"/>
        </w:rPr>
        <w:t>Die medikamentöse Behandlung einer Epilepsie ist immer eine Langzeittherapie und dauert meistens mehrere Jahre. Eine Therapie stützt sich vor allem auf folgende Massnahmen:</w:t>
      </w:r>
    </w:p>
    <w:p w:rsidR="00CB4178" w:rsidRPr="00CB4178" w:rsidRDefault="00CB4178" w:rsidP="00CB4178">
      <w:pPr>
        <w:numPr>
          <w:ilvl w:val="0"/>
          <w:numId w:val="1"/>
        </w:numPr>
        <w:spacing w:before="100" w:beforeAutospacing="1" w:after="100" w:afterAutospacing="1" w:line="240" w:lineRule="auto"/>
        <w:ind w:left="0"/>
        <w:rPr>
          <w:sz w:val="24"/>
          <w:szCs w:val="24"/>
        </w:rPr>
      </w:pPr>
      <w:r w:rsidRPr="00CB4178">
        <w:rPr>
          <w:sz w:val="24"/>
          <w:szCs w:val="24"/>
        </w:rPr>
        <w:t>regelmässige Medikamenteneinnahme</w:t>
      </w:r>
    </w:p>
    <w:p w:rsidR="00CB4178" w:rsidRPr="00CB4178" w:rsidRDefault="00CB4178" w:rsidP="00CB4178">
      <w:pPr>
        <w:numPr>
          <w:ilvl w:val="0"/>
          <w:numId w:val="1"/>
        </w:numPr>
        <w:spacing w:before="100" w:beforeAutospacing="1" w:after="100" w:afterAutospacing="1" w:line="240" w:lineRule="auto"/>
        <w:ind w:left="0"/>
        <w:rPr>
          <w:sz w:val="24"/>
          <w:szCs w:val="24"/>
        </w:rPr>
      </w:pPr>
      <w:r w:rsidRPr="00CB4178">
        <w:rPr>
          <w:sz w:val="24"/>
          <w:szCs w:val="24"/>
        </w:rPr>
        <w:t>geregelte Lebensführung mit regelmässigem Schlaf-Wach-Rhythmus</w:t>
      </w:r>
    </w:p>
    <w:p w:rsidR="00CB4178" w:rsidRPr="00CB4178" w:rsidRDefault="00CB4178" w:rsidP="00CB4178">
      <w:pPr>
        <w:numPr>
          <w:ilvl w:val="0"/>
          <w:numId w:val="1"/>
        </w:numPr>
        <w:spacing w:before="100" w:beforeAutospacing="1" w:after="100" w:afterAutospacing="1" w:line="240" w:lineRule="auto"/>
        <w:ind w:left="0"/>
        <w:rPr>
          <w:sz w:val="24"/>
          <w:szCs w:val="24"/>
        </w:rPr>
      </w:pPr>
      <w:r w:rsidRPr="00CB4178">
        <w:rPr>
          <w:sz w:val="24"/>
          <w:szCs w:val="24"/>
        </w:rPr>
        <w:t>regelmässige ärztliche Kontrollen</w:t>
      </w:r>
    </w:p>
    <w:p w:rsidR="00CB4178" w:rsidRPr="00CB4178" w:rsidRDefault="00CB4178" w:rsidP="00CB4178">
      <w:pPr>
        <w:numPr>
          <w:ilvl w:val="0"/>
          <w:numId w:val="1"/>
        </w:numPr>
        <w:spacing w:before="100" w:beforeAutospacing="1" w:after="100" w:afterAutospacing="1" w:line="240" w:lineRule="auto"/>
        <w:ind w:left="0"/>
        <w:rPr>
          <w:sz w:val="24"/>
          <w:szCs w:val="24"/>
        </w:rPr>
      </w:pPr>
      <w:r w:rsidRPr="00CB4178">
        <w:rPr>
          <w:sz w:val="24"/>
          <w:szCs w:val="24"/>
        </w:rPr>
        <w:t>Über- oder Unterforderung meiden</w:t>
      </w:r>
    </w:p>
    <w:p w:rsidR="00CB4178" w:rsidRDefault="00CB4178" w:rsidP="00CB4178">
      <w:pPr>
        <w:numPr>
          <w:ilvl w:val="0"/>
          <w:numId w:val="1"/>
        </w:numPr>
        <w:spacing w:before="100" w:beforeAutospacing="1" w:after="100" w:afterAutospacing="1" w:line="240" w:lineRule="auto"/>
        <w:ind w:left="0"/>
        <w:rPr>
          <w:sz w:val="24"/>
          <w:szCs w:val="24"/>
        </w:rPr>
      </w:pPr>
      <w:r w:rsidRPr="00CB4178">
        <w:rPr>
          <w:sz w:val="24"/>
          <w:szCs w:val="24"/>
        </w:rPr>
        <w:t>vermeiden von provokativen Faktoren wie Alkohol und Drogen</w:t>
      </w:r>
    </w:p>
    <w:p w:rsidR="00CB4178" w:rsidRPr="00CB4178" w:rsidRDefault="00CB4178" w:rsidP="00CB4178">
      <w:pPr>
        <w:numPr>
          <w:ilvl w:val="0"/>
          <w:numId w:val="1"/>
        </w:numPr>
        <w:spacing w:before="100" w:beforeAutospacing="1" w:after="100" w:afterAutospacing="1" w:line="240" w:lineRule="auto"/>
        <w:ind w:left="0"/>
        <w:rPr>
          <w:sz w:val="24"/>
          <w:szCs w:val="24"/>
        </w:rPr>
      </w:pPr>
      <w:r w:rsidRPr="00CB4178">
        <w:rPr>
          <w:sz w:val="24"/>
          <w:szCs w:val="24"/>
        </w:rPr>
        <w:br/>
        <w:t xml:space="preserve">Mit diesen Massnahmen werden viele der Betroffenen anfallsfrei. Bei einigen Patienten aber kann die Krankheit nicht befriedigend kontrolliert werden. Eine kleine Zahl von Patientinnen und Patienten, mit sogenannten therapieresistenten Epilepsien, kann heute operativ behandelt werden, sofern sich der Herd in einer genau umschriebenen Region des Gehirns befindet. </w:t>
      </w:r>
      <w:bookmarkStart w:id="0" w:name="_GoBack"/>
      <w:bookmarkEnd w:id="0"/>
    </w:p>
    <w:p w:rsidR="00CB4178" w:rsidRPr="00CB4178" w:rsidRDefault="00CB4178">
      <w:pPr>
        <w:rPr>
          <w:sz w:val="24"/>
          <w:szCs w:val="24"/>
        </w:rPr>
      </w:pPr>
    </w:p>
    <w:p w:rsidR="00CB4178" w:rsidRPr="00CB4178" w:rsidRDefault="00CB4178">
      <w:pPr>
        <w:rPr>
          <w:sz w:val="24"/>
          <w:szCs w:val="24"/>
          <w:lang w:val="fr-CH"/>
        </w:rPr>
      </w:pPr>
      <w:r w:rsidRPr="00CB4178">
        <w:rPr>
          <w:sz w:val="24"/>
          <w:szCs w:val="24"/>
          <w:lang w:val="fr-CH"/>
        </w:rPr>
        <w:t xml:space="preserve">Quelle : </w:t>
      </w:r>
      <w:hyperlink r:id="rId6" w:history="1">
        <w:r w:rsidRPr="00CB4178">
          <w:rPr>
            <w:rStyle w:val="Hyperlink"/>
            <w:sz w:val="24"/>
            <w:szCs w:val="24"/>
            <w:lang w:val="fr-CH"/>
          </w:rPr>
          <w:t>http://epi-suisse.ch/de/epilepsie/</w:t>
        </w:r>
      </w:hyperlink>
      <w:r w:rsidRPr="00CB4178">
        <w:rPr>
          <w:sz w:val="24"/>
          <w:szCs w:val="24"/>
          <w:lang w:val="fr-CH"/>
        </w:rPr>
        <w:t xml:space="preserve"> 23.10.2014</w:t>
      </w:r>
    </w:p>
    <w:sectPr w:rsidR="00CB4178" w:rsidRPr="00CB4178" w:rsidSect="00CB4178">
      <w:pgSz w:w="11906" w:h="16838"/>
      <w:pgMar w:top="568"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544"/>
    <w:multiLevelType w:val="multilevel"/>
    <w:tmpl w:val="26A6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78"/>
    <w:rsid w:val="00156BB5"/>
    <w:rsid w:val="001A2940"/>
    <w:rsid w:val="00772E14"/>
    <w:rsid w:val="00CB4178"/>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B4178"/>
    <w:pPr>
      <w:spacing w:before="180" w:after="80" w:line="288" w:lineRule="atLeast"/>
      <w:outlineLvl w:val="1"/>
    </w:pPr>
    <w:rPr>
      <w:rFonts w:ascii="Times New Roman" w:eastAsia="Times New Roman" w:hAnsi="Times New Roman" w:cs="Times New Roman"/>
      <w:color w:val="333333"/>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4178"/>
    <w:rPr>
      <w:rFonts w:ascii="Times New Roman" w:eastAsia="Times New Roman" w:hAnsi="Times New Roman" w:cs="Times New Roman"/>
      <w:color w:val="333333"/>
      <w:sz w:val="30"/>
      <w:szCs w:val="30"/>
      <w:lang w:eastAsia="de-CH"/>
    </w:rPr>
  </w:style>
  <w:style w:type="paragraph" w:styleId="StandardWeb">
    <w:name w:val="Normal (Web)"/>
    <w:basedOn w:val="Standard"/>
    <w:uiPriority w:val="99"/>
    <w:unhideWhenUsed/>
    <w:rsid w:val="00CB4178"/>
    <w:pPr>
      <w:spacing w:after="120"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CB41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B4178"/>
    <w:pPr>
      <w:spacing w:before="180" w:after="80" w:line="288" w:lineRule="atLeast"/>
      <w:outlineLvl w:val="1"/>
    </w:pPr>
    <w:rPr>
      <w:rFonts w:ascii="Times New Roman" w:eastAsia="Times New Roman" w:hAnsi="Times New Roman" w:cs="Times New Roman"/>
      <w:color w:val="333333"/>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4178"/>
    <w:rPr>
      <w:rFonts w:ascii="Times New Roman" w:eastAsia="Times New Roman" w:hAnsi="Times New Roman" w:cs="Times New Roman"/>
      <w:color w:val="333333"/>
      <w:sz w:val="30"/>
      <w:szCs w:val="30"/>
      <w:lang w:eastAsia="de-CH"/>
    </w:rPr>
  </w:style>
  <w:style w:type="paragraph" w:styleId="StandardWeb">
    <w:name w:val="Normal (Web)"/>
    <w:basedOn w:val="Standard"/>
    <w:uiPriority w:val="99"/>
    <w:unhideWhenUsed/>
    <w:rsid w:val="00CB4178"/>
    <w:pPr>
      <w:spacing w:after="120"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CB4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8551">
      <w:bodyDiv w:val="1"/>
      <w:marLeft w:val="0"/>
      <w:marRight w:val="0"/>
      <w:marTop w:val="0"/>
      <w:marBottom w:val="0"/>
      <w:divBdr>
        <w:top w:val="none" w:sz="0" w:space="0" w:color="auto"/>
        <w:left w:val="none" w:sz="0" w:space="0" w:color="auto"/>
        <w:bottom w:val="none" w:sz="0" w:space="0" w:color="auto"/>
        <w:right w:val="none" w:sz="0" w:space="0" w:color="auto"/>
      </w:divBdr>
      <w:divsChild>
        <w:div w:id="1730299850">
          <w:marLeft w:val="0"/>
          <w:marRight w:val="0"/>
          <w:marTop w:val="0"/>
          <w:marBottom w:val="0"/>
          <w:divBdr>
            <w:top w:val="none" w:sz="0" w:space="0" w:color="auto"/>
            <w:left w:val="none" w:sz="0" w:space="0" w:color="auto"/>
            <w:bottom w:val="none" w:sz="0" w:space="0" w:color="auto"/>
            <w:right w:val="none" w:sz="0" w:space="0" w:color="auto"/>
          </w:divBdr>
          <w:divsChild>
            <w:div w:id="853299819">
              <w:marLeft w:val="0"/>
              <w:marRight w:val="0"/>
              <w:marTop w:val="0"/>
              <w:marBottom w:val="0"/>
              <w:divBdr>
                <w:top w:val="none" w:sz="0" w:space="0" w:color="auto"/>
                <w:left w:val="none" w:sz="0" w:space="0" w:color="auto"/>
                <w:bottom w:val="none" w:sz="0" w:space="0" w:color="auto"/>
                <w:right w:val="none" w:sz="0" w:space="0" w:color="auto"/>
              </w:divBdr>
              <w:divsChild>
                <w:div w:id="795022579">
                  <w:marLeft w:val="0"/>
                  <w:marRight w:val="0"/>
                  <w:marTop w:val="0"/>
                  <w:marBottom w:val="0"/>
                  <w:divBdr>
                    <w:top w:val="none" w:sz="0" w:space="0" w:color="auto"/>
                    <w:left w:val="none" w:sz="0" w:space="0" w:color="auto"/>
                    <w:bottom w:val="none" w:sz="0" w:space="0" w:color="auto"/>
                    <w:right w:val="none" w:sz="0" w:space="0" w:color="auto"/>
                  </w:divBdr>
                  <w:divsChild>
                    <w:div w:id="1055007354">
                      <w:marLeft w:val="0"/>
                      <w:marRight w:val="0"/>
                      <w:marTop w:val="0"/>
                      <w:marBottom w:val="0"/>
                      <w:divBdr>
                        <w:top w:val="none" w:sz="0" w:space="0" w:color="auto"/>
                        <w:left w:val="none" w:sz="0" w:space="0" w:color="auto"/>
                        <w:bottom w:val="none" w:sz="0" w:space="0" w:color="auto"/>
                        <w:right w:val="none" w:sz="0" w:space="0" w:color="auto"/>
                      </w:divBdr>
                      <w:divsChild>
                        <w:div w:id="1972246861">
                          <w:marLeft w:val="0"/>
                          <w:marRight w:val="0"/>
                          <w:marTop w:val="0"/>
                          <w:marBottom w:val="0"/>
                          <w:divBdr>
                            <w:top w:val="none" w:sz="0" w:space="0" w:color="auto"/>
                            <w:left w:val="none" w:sz="0" w:space="0" w:color="auto"/>
                            <w:bottom w:val="none" w:sz="0" w:space="0" w:color="auto"/>
                            <w:right w:val="none" w:sz="0" w:space="0" w:color="auto"/>
                          </w:divBdr>
                          <w:divsChild>
                            <w:div w:id="843666311">
                              <w:marLeft w:val="0"/>
                              <w:marRight w:val="0"/>
                              <w:marTop w:val="0"/>
                              <w:marBottom w:val="0"/>
                              <w:divBdr>
                                <w:top w:val="none" w:sz="0" w:space="0" w:color="auto"/>
                                <w:left w:val="none" w:sz="0" w:space="0" w:color="auto"/>
                                <w:bottom w:val="none" w:sz="0" w:space="0" w:color="auto"/>
                                <w:right w:val="none" w:sz="0" w:space="0" w:color="auto"/>
                              </w:divBdr>
                              <w:divsChild>
                                <w:div w:id="94374150">
                                  <w:marLeft w:val="0"/>
                                  <w:marRight w:val="0"/>
                                  <w:marTop w:val="0"/>
                                  <w:marBottom w:val="0"/>
                                  <w:divBdr>
                                    <w:top w:val="none" w:sz="0" w:space="0" w:color="auto"/>
                                    <w:left w:val="none" w:sz="0" w:space="0" w:color="auto"/>
                                    <w:bottom w:val="none" w:sz="0" w:space="0" w:color="auto"/>
                                    <w:right w:val="none" w:sz="0" w:space="0" w:color="auto"/>
                                  </w:divBdr>
                                </w:div>
                              </w:divsChild>
                            </w:div>
                            <w:div w:id="1768112799">
                              <w:marLeft w:val="0"/>
                              <w:marRight w:val="0"/>
                              <w:marTop w:val="0"/>
                              <w:marBottom w:val="0"/>
                              <w:divBdr>
                                <w:top w:val="none" w:sz="0" w:space="0" w:color="auto"/>
                                <w:left w:val="none" w:sz="0" w:space="0" w:color="auto"/>
                                <w:bottom w:val="none" w:sz="0" w:space="0" w:color="auto"/>
                                <w:right w:val="none" w:sz="0" w:space="0" w:color="auto"/>
                              </w:divBdr>
                              <w:divsChild>
                                <w:div w:id="19728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4704">
      <w:bodyDiv w:val="1"/>
      <w:marLeft w:val="0"/>
      <w:marRight w:val="0"/>
      <w:marTop w:val="0"/>
      <w:marBottom w:val="0"/>
      <w:divBdr>
        <w:top w:val="none" w:sz="0" w:space="0" w:color="auto"/>
        <w:left w:val="none" w:sz="0" w:space="0" w:color="auto"/>
        <w:bottom w:val="none" w:sz="0" w:space="0" w:color="auto"/>
        <w:right w:val="none" w:sz="0" w:space="0" w:color="auto"/>
      </w:divBdr>
      <w:divsChild>
        <w:div w:id="1688752586">
          <w:marLeft w:val="0"/>
          <w:marRight w:val="0"/>
          <w:marTop w:val="0"/>
          <w:marBottom w:val="0"/>
          <w:divBdr>
            <w:top w:val="none" w:sz="0" w:space="0" w:color="auto"/>
            <w:left w:val="none" w:sz="0" w:space="0" w:color="auto"/>
            <w:bottom w:val="none" w:sz="0" w:space="0" w:color="auto"/>
            <w:right w:val="none" w:sz="0" w:space="0" w:color="auto"/>
          </w:divBdr>
          <w:divsChild>
            <w:div w:id="1940988212">
              <w:marLeft w:val="0"/>
              <w:marRight w:val="0"/>
              <w:marTop w:val="0"/>
              <w:marBottom w:val="0"/>
              <w:divBdr>
                <w:top w:val="none" w:sz="0" w:space="0" w:color="auto"/>
                <w:left w:val="none" w:sz="0" w:space="0" w:color="auto"/>
                <w:bottom w:val="none" w:sz="0" w:space="0" w:color="auto"/>
                <w:right w:val="none" w:sz="0" w:space="0" w:color="auto"/>
              </w:divBdr>
              <w:divsChild>
                <w:div w:id="401370546">
                  <w:marLeft w:val="0"/>
                  <w:marRight w:val="0"/>
                  <w:marTop w:val="0"/>
                  <w:marBottom w:val="0"/>
                  <w:divBdr>
                    <w:top w:val="none" w:sz="0" w:space="0" w:color="auto"/>
                    <w:left w:val="none" w:sz="0" w:space="0" w:color="auto"/>
                    <w:bottom w:val="none" w:sz="0" w:space="0" w:color="auto"/>
                    <w:right w:val="none" w:sz="0" w:space="0" w:color="auto"/>
                  </w:divBdr>
                  <w:divsChild>
                    <w:div w:id="300158741">
                      <w:marLeft w:val="0"/>
                      <w:marRight w:val="0"/>
                      <w:marTop w:val="0"/>
                      <w:marBottom w:val="0"/>
                      <w:divBdr>
                        <w:top w:val="none" w:sz="0" w:space="0" w:color="auto"/>
                        <w:left w:val="none" w:sz="0" w:space="0" w:color="auto"/>
                        <w:bottom w:val="none" w:sz="0" w:space="0" w:color="auto"/>
                        <w:right w:val="none" w:sz="0" w:space="0" w:color="auto"/>
                      </w:divBdr>
                      <w:divsChild>
                        <w:div w:id="471607052">
                          <w:marLeft w:val="0"/>
                          <w:marRight w:val="0"/>
                          <w:marTop w:val="0"/>
                          <w:marBottom w:val="0"/>
                          <w:divBdr>
                            <w:top w:val="none" w:sz="0" w:space="0" w:color="auto"/>
                            <w:left w:val="none" w:sz="0" w:space="0" w:color="auto"/>
                            <w:bottom w:val="none" w:sz="0" w:space="0" w:color="auto"/>
                            <w:right w:val="none" w:sz="0" w:space="0" w:color="auto"/>
                          </w:divBdr>
                          <w:divsChild>
                            <w:div w:id="1187675532">
                              <w:marLeft w:val="0"/>
                              <w:marRight w:val="0"/>
                              <w:marTop w:val="0"/>
                              <w:marBottom w:val="0"/>
                              <w:divBdr>
                                <w:top w:val="none" w:sz="0" w:space="0" w:color="auto"/>
                                <w:left w:val="none" w:sz="0" w:space="0" w:color="auto"/>
                                <w:bottom w:val="none" w:sz="0" w:space="0" w:color="auto"/>
                                <w:right w:val="none" w:sz="0" w:space="0" w:color="auto"/>
                              </w:divBdr>
                              <w:divsChild>
                                <w:div w:id="1667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56948">
      <w:bodyDiv w:val="1"/>
      <w:marLeft w:val="0"/>
      <w:marRight w:val="0"/>
      <w:marTop w:val="0"/>
      <w:marBottom w:val="0"/>
      <w:divBdr>
        <w:top w:val="none" w:sz="0" w:space="0" w:color="auto"/>
        <w:left w:val="none" w:sz="0" w:space="0" w:color="auto"/>
        <w:bottom w:val="none" w:sz="0" w:space="0" w:color="auto"/>
        <w:right w:val="none" w:sz="0" w:space="0" w:color="auto"/>
      </w:divBdr>
      <w:divsChild>
        <w:div w:id="1049573743">
          <w:marLeft w:val="0"/>
          <w:marRight w:val="0"/>
          <w:marTop w:val="0"/>
          <w:marBottom w:val="0"/>
          <w:divBdr>
            <w:top w:val="none" w:sz="0" w:space="0" w:color="auto"/>
            <w:left w:val="none" w:sz="0" w:space="0" w:color="auto"/>
            <w:bottom w:val="none" w:sz="0" w:space="0" w:color="auto"/>
            <w:right w:val="none" w:sz="0" w:space="0" w:color="auto"/>
          </w:divBdr>
          <w:divsChild>
            <w:div w:id="1905555713">
              <w:marLeft w:val="0"/>
              <w:marRight w:val="0"/>
              <w:marTop w:val="0"/>
              <w:marBottom w:val="0"/>
              <w:divBdr>
                <w:top w:val="none" w:sz="0" w:space="0" w:color="auto"/>
                <w:left w:val="none" w:sz="0" w:space="0" w:color="auto"/>
                <w:bottom w:val="none" w:sz="0" w:space="0" w:color="auto"/>
                <w:right w:val="none" w:sz="0" w:space="0" w:color="auto"/>
              </w:divBdr>
              <w:divsChild>
                <w:div w:id="1809057101">
                  <w:marLeft w:val="0"/>
                  <w:marRight w:val="0"/>
                  <w:marTop w:val="0"/>
                  <w:marBottom w:val="0"/>
                  <w:divBdr>
                    <w:top w:val="none" w:sz="0" w:space="0" w:color="auto"/>
                    <w:left w:val="none" w:sz="0" w:space="0" w:color="auto"/>
                    <w:bottom w:val="none" w:sz="0" w:space="0" w:color="auto"/>
                    <w:right w:val="none" w:sz="0" w:space="0" w:color="auto"/>
                  </w:divBdr>
                  <w:divsChild>
                    <w:div w:id="432408986">
                      <w:marLeft w:val="0"/>
                      <w:marRight w:val="0"/>
                      <w:marTop w:val="0"/>
                      <w:marBottom w:val="0"/>
                      <w:divBdr>
                        <w:top w:val="none" w:sz="0" w:space="0" w:color="auto"/>
                        <w:left w:val="none" w:sz="0" w:space="0" w:color="auto"/>
                        <w:bottom w:val="none" w:sz="0" w:space="0" w:color="auto"/>
                        <w:right w:val="none" w:sz="0" w:space="0" w:color="auto"/>
                      </w:divBdr>
                      <w:divsChild>
                        <w:div w:id="1385761753">
                          <w:marLeft w:val="0"/>
                          <w:marRight w:val="0"/>
                          <w:marTop w:val="0"/>
                          <w:marBottom w:val="0"/>
                          <w:divBdr>
                            <w:top w:val="none" w:sz="0" w:space="0" w:color="auto"/>
                            <w:left w:val="none" w:sz="0" w:space="0" w:color="auto"/>
                            <w:bottom w:val="none" w:sz="0" w:space="0" w:color="auto"/>
                            <w:right w:val="none" w:sz="0" w:space="0" w:color="auto"/>
                          </w:divBdr>
                          <w:divsChild>
                            <w:div w:id="311521010">
                              <w:marLeft w:val="0"/>
                              <w:marRight w:val="0"/>
                              <w:marTop w:val="0"/>
                              <w:marBottom w:val="0"/>
                              <w:divBdr>
                                <w:top w:val="none" w:sz="0" w:space="0" w:color="auto"/>
                                <w:left w:val="none" w:sz="0" w:space="0" w:color="auto"/>
                                <w:bottom w:val="none" w:sz="0" w:space="0" w:color="auto"/>
                                <w:right w:val="none" w:sz="0" w:space="0" w:color="auto"/>
                              </w:divBdr>
                              <w:divsChild>
                                <w:div w:id="1069159262">
                                  <w:marLeft w:val="0"/>
                                  <w:marRight w:val="0"/>
                                  <w:marTop w:val="0"/>
                                  <w:marBottom w:val="0"/>
                                  <w:divBdr>
                                    <w:top w:val="none" w:sz="0" w:space="0" w:color="auto"/>
                                    <w:left w:val="none" w:sz="0" w:space="0" w:color="auto"/>
                                    <w:bottom w:val="none" w:sz="0" w:space="0" w:color="auto"/>
                                    <w:right w:val="none" w:sz="0" w:space="0" w:color="auto"/>
                                  </w:divBdr>
                                  <w:divsChild>
                                    <w:div w:id="1780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i-suisse.ch/de/epileps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2014-10-23T05:08:00Z</dcterms:created>
  <dcterms:modified xsi:type="dcterms:W3CDTF">2014-10-23T05:12:00Z</dcterms:modified>
</cp:coreProperties>
</file>